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951E5" w14:textId="7425B7F9" w:rsidR="003E1ACE" w:rsidRPr="003E1ACE" w:rsidRDefault="003E1ACE">
      <w:pPr>
        <w:rPr>
          <w:b/>
          <w:bCs/>
          <w:sz w:val="32"/>
          <w:szCs w:val="32"/>
        </w:rPr>
      </w:pPr>
      <w:r w:rsidRPr="003E1ACE">
        <w:rPr>
          <w:b/>
          <w:bCs/>
          <w:sz w:val="32"/>
          <w:szCs w:val="32"/>
        </w:rPr>
        <w:t>Promocja Epson: wsparcie modernizacji projektorów w salach lekcyjnych</w:t>
      </w:r>
    </w:p>
    <w:p w14:paraId="0BE3E573" w14:textId="2D924169" w:rsidR="003E1ACE" w:rsidRDefault="003E1ACE">
      <w:pPr>
        <w:rPr>
          <w:b/>
          <w:bCs/>
          <w:i/>
          <w:iCs/>
        </w:rPr>
      </w:pPr>
      <w:r w:rsidRPr="003E1ACE">
        <w:rPr>
          <w:b/>
          <w:bCs/>
          <w:i/>
          <w:iCs/>
        </w:rPr>
        <w:t>Szkoły mogą zyskać nawet 2500 zł na wymianie sprzętu AV</w:t>
      </w:r>
    </w:p>
    <w:p w14:paraId="06DCA5F5" w14:textId="77777777" w:rsidR="003E1ACE" w:rsidRDefault="003E1ACE">
      <w:pPr>
        <w:rPr>
          <w:i/>
          <w:iCs/>
        </w:rPr>
      </w:pPr>
    </w:p>
    <w:p w14:paraId="2E214CC6" w14:textId="23827CCA" w:rsidR="003E1ACE" w:rsidRPr="003E1ACE" w:rsidRDefault="0044067F" w:rsidP="003E1ACE">
      <w:r>
        <w:t>D</w:t>
      </w:r>
      <w:r w:rsidR="003E1ACE" w:rsidRPr="003E1ACE">
        <w:t>o 31 grudnia 2026 roku szkoły i przedszkola w całej Polsce mogą skorzystać z nowej promocji Epson, która ułatwia wymianę wysłużonego sprzętu audiowizualnego na nowoczesne projektory laserowe. W ramach programu placówki edukacyjne otrzymają rabat sięgający nawet 2500 zł przy zakupie wybranych modeli projektorów i projektorów interaktywnych.</w:t>
      </w:r>
    </w:p>
    <w:p w14:paraId="4E8B1EB2" w14:textId="77777777" w:rsidR="003E1ACE" w:rsidRPr="003E1ACE" w:rsidRDefault="003E1ACE" w:rsidP="003E1ACE">
      <w:r w:rsidRPr="003E1ACE">
        <w:t>Akcja skierowana jest do szkół podstawowych, ponadpodstawowych oraz przedszkoli – zarówno publicznych, jak i niepublicznych. Jej celem jest wsparcie placówek w modernizacji wyposażenia sal lekcyjnych bez konieczności ponoszenia wysokich kosztów inwestycji.</w:t>
      </w:r>
    </w:p>
    <w:p w14:paraId="4A25798A" w14:textId="4C1CA2AB" w:rsidR="003E1ACE" w:rsidRPr="003E1ACE" w:rsidRDefault="003E1ACE" w:rsidP="003E1ACE">
      <w:r w:rsidRPr="003E1ACE">
        <w:t xml:space="preserve">Program obejmuje projektory krótkoogniskowe EB-L210SW i EB-L210SF, ultrakrótkoogniskowy model EB-770F oraz interaktywne projektory EB-760Wi i EB-770Fi. Aby </w:t>
      </w:r>
      <w:r w:rsidR="007B1847">
        <w:t xml:space="preserve">z niej </w:t>
      </w:r>
      <w:r w:rsidRPr="003E1ACE">
        <w:t>skorzystać, wystarczy podczas zakupu zgłosić model lub numer seryjny dotychczas używanego projektora albo monitora. Co istotne, stare urządzenie nie musi zostać oddane – szkoły mogą nadal z niego korzystać lub przekazać je do zbiórki elektroodpadów zgodnie z własnymi zasadami.</w:t>
      </w:r>
    </w:p>
    <w:p w14:paraId="1AB48C09" w14:textId="2AF6338F" w:rsidR="003E1ACE" w:rsidRPr="003E1ACE" w:rsidRDefault="003E1ACE" w:rsidP="003E1ACE">
      <w:r>
        <w:t>„</w:t>
      </w:r>
      <w:r w:rsidRPr="003E1ACE">
        <w:t>W wielu szkołach wciąż wykorzystywany jest sprzęt, który nie odpowiada już współczesnym wymaganiom nauczycieli i uczniów. Chcemy ułatwić placówkom przejście na nowoczesne rozwiązania projekcyjne, dlatego przygotowaliśmy program, który realnie obniża koszt takiej inwestycji. To nie tylko oszczędność przy zakupie, ale również niższe koszty eksploatacji przez wiele kolejnych lat</w:t>
      </w:r>
      <w:r>
        <w:t xml:space="preserve">” – powiedział Andrzej Bieniek z </w:t>
      </w:r>
      <w:r w:rsidRPr="003E1ACE">
        <w:t>Epson Polska.</w:t>
      </w:r>
    </w:p>
    <w:p w14:paraId="13A33B6A" w14:textId="0FAF9875" w:rsidR="003E1ACE" w:rsidRPr="003E1ACE" w:rsidRDefault="003E1ACE" w:rsidP="003E1ACE">
      <w:r w:rsidRPr="003E1ACE">
        <w:t xml:space="preserve">Laserowe projektory Epson z technologią 3LCD zapewniają jasny, kolorowy obraz o przekątnej od 50 do nawet 300 cali, dzięki czemu materiały pozostają czytelne w całej klasie, również w jasnych salach. Obraz wyświetlany jest na zasadzie światła odbitego od powierzchni projekcyjnej, a nie bezpośrednio emitowanego do oczu, co zwiększa komfort podczas wielogodzinnej pracy. </w:t>
      </w:r>
    </w:p>
    <w:p w14:paraId="217C2D39" w14:textId="6C25FB4E" w:rsidR="003E1ACE" w:rsidRPr="003E1ACE" w:rsidRDefault="003E1ACE" w:rsidP="003E1ACE">
      <w:r w:rsidRPr="003E1ACE">
        <w:t>Możliwość wyświetlania obrazu o przekątnej od 50 do nawet 300 cali sprawia, że każdy uczeń – niezależnie od miejsca w klasie – ma dobrą widoczność prezentowanych treści.</w:t>
      </w:r>
      <w:r>
        <w:t xml:space="preserve"> W</w:t>
      </w:r>
      <w:r w:rsidRPr="003E1ACE">
        <w:t>budowane Wi-Fi i Miracast pozwalają bezprzewodowo prezentować materiały z komputerów i urządzeń mobilnych</w:t>
      </w:r>
      <w:r>
        <w:t>, a l</w:t>
      </w:r>
      <w:r w:rsidRPr="003E1ACE">
        <w:t>aserowe źródło światła o żywotności do 20 tys. godzin ogranicza koszty eksploatacji i serwisowania.</w:t>
      </w:r>
      <w:r>
        <w:t xml:space="preserve"> Dodatkowo m</w:t>
      </w:r>
      <w:r w:rsidRPr="003E1ACE">
        <w:t xml:space="preserve">odele interaktywne umożliwiają tworzenie ponad 100-calowej przestrzeni roboczej obsługiwanej pisakami </w:t>
      </w:r>
      <w:r w:rsidRPr="003E1ACE">
        <w:lastRenderedPageBreak/>
        <w:t>lub dotykiem</w:t>
      </w:r>
      <w:r>
        <w:t xml:space="preserve">. </w:t>
      </w:r>
      <w:r w:rsidRPr="003E1ACE">
        <w:t>Dodatkowym atutem jest ponad 35-letnie doświadczenie Epson w rozwijaniu technologii projekcyjnych oraz lokalne zaplecze serwisowe w Polsce.</w:t>
      </w:r>
    </w:p>
    <w:p w14:paraId="2FCA5D12" w14:textId="070514A6" w:rsidR="0044067F" w:rsidRPr="00431172" w:rsidRDefault="00B64E8D">
      <w:pPr>
        <w:rPr>
          <w:b/>
          <w:bCs/>
        </w:rPr>
      </w:pPr>
      <w:r>
        <w:t xml:space="preserve">Promocja </w:t>
      </w:r>
      <w:r w:rsidR="003E1ACE" w:rsidRPr="003E1ACE">
        <w:t>realizowan</w:t>
      </w:r>
      <w:r>
        <w:t>a</w:t>
      </w:r>
      <w:r w:rsidR="003E1ACE" w:rsidRPr="003E1ACE">
        <w:t xml:space="preserve"> jest do </w:t>
      </w:r>
      <w:r w:rsidR="0044067F">
        <w:t>końca roku (</w:t>
      </w:r>
      <w:r w:rsidR="003E1ACE" w:rsidRPr="003E1ACE">
        <w:t>31</w:t>
      </w:r>
      <w:r w:rsidR="0044067F">
        <w:t>.12.</w:t>
      </w:r>
      <w:r w:rsidR="003E1ACE" w:rsidRPr="003E1ACE">
        <w:t>2026</w:t>
      </w:r>
      <w:r w:rsidR="0044067F">
        <w:t xml:space="preserve">) </w:t>
      </w:r>
      <w:r w:rsidR="003E1ACE" w:rsidRPr="003E1ACE">
        <w:t xml:space="preserve">za pośrednictwem </w:t>
      </w:r>
      <w:r w:rsidR="0044067F">
        <w:t>a</w:t>
      </w:r>
      <w:r w:rsidR="003E1ACE" w:rsidRPr="003E1ACE">
        <w:t xml:space="preserve">utoryzowanych </w:t>
      </w:r>
      <w:r w:rsidR="0044067F">
        <w:t>p</w:t>
      </w:r>
      <w:r w:rsidR="003E1ACE" w:rsidRPr="003E1ACE">
        <w:t>artnerów Epson specjalizujących się w rozwiązaniach dla edukacji. Szczegółowe informacje dotyczące promocji dostępne są</w:t>
      </w:r>
      <w:r w:rsidR="0044067F">
        <w:t xml:space="preserve"> </w:t>
      </w:r>
      <w:hyperlink r:id="rId4" w:history="1">
        <w:r>
          <w:rPr>
            <w:rStyle w:val="Hipercze"/>
          </w:rPr>
          <w:t>na stronie programu</w:t>
        </w:r>
      </w:hyperlink>
      <w:r w:rsidR="003E1ACE" w:rsidRPr="003E1ACE">
        <w:rPr>
          <w:b/>
          <w:bCs/>
        </w:rPr>
        <w:t>.</w:t>
      </w:r>
    </w:p>
    <w:sectPr w:rsidR="0044067F" w:rsidRPr="004311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ACE"/>
    <w:rsid w:val="000D23C5"/>
    <w:rsid w:val="003076B9"/>
    <w:rsid w:val="003A3578"/>
    <w:rsid w:val="003E1ACE"/>
    <w:rsid w:val="00431172"/>
    <w:rsid w:val="0044067F"/>
    <w:rsid w:val="0075503F"/>
    <w:rsid w:val="007B1847"/>
    <w:rsid w:val="007B3BBD"/>
    <w:rsid w:val="007F4226"/>
    <w:rsid w:val="00A777AA"/>
    <w:rsid w:val="00B64E8D"/>
    <w:rsid w:val="00BB6AFB"/>
    <w:rsid w:val="00CB28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FBE1C"/>
  <w15:chartTrackingRefBased/>
  <w15:docId w15:val="{BFE81A9C-739A-404F-AE39-1CBF2B95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E1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E1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E1AC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E1AC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E1AC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E1AC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E1AC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E1AC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E1AC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E1AC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E1AC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E1AC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E1AC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E1AC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E1AC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E1AC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E1AC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E1ACE"/>
    <w:rPr>
      <w:rFonts w:eastAsiaTheme="majorEastAsia" w:cstheme="majorBidi"/>
      <w:color w:val="272727" w:themeColor="text1" w:themeTint="D8"/>
    </w:rPr>
  </w:style>
  <w:style w:type="paragraph" w:styleId="Tytu">
    <w:name w:val="Title"/>
    <w:basedOn w:val="Normalny"/>
    <w:next w:val="Normalny"/>
    <w:link w:val="TytuZnak"/>
    <w:uiPriority w:val="10"/>
    <w:qFormat/>
    <w:rsid w:val="003E1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E1AC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E1AC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E1AC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E1ACE"/>
    <w:pPr>
      <w:spacing w:before="160"/>
      <w:jc w:val="center"/>
    </w:pPr>
    <w:rPr>
      <w:i/>
      <w:iCs/>
      <w:color w:val="404040" w:themeColor="text1" w:themeTint="BF"/>
    </w:rPr>
  </w:style>
  <w:style w:type="character" w:customStyle="1" w:styleId="CytatZnak">
    <w:name w:val="Cytat Znak"/>
    <w:basedOn w:val="Domylnaczcionkaakapitu"/>
    <w:link w:val="Cytat"/>
    <w:uiPriority w:val="29"/>
    <w:rsid w:val="003E1ACE"/>
    <w:rPr>
      <w:i/>
      <w:iCs/>
      <w:color w:val="404040" w:themeColor="text1" w:themeTint="BF"/>
    </w:rPr>
  </w:style>
  <w:style w:type="paragraph" w:styleId="Akapitzlist">
    <w:name w:val="List Paragraph"/>
    <w:basedOn w:val="Normalny"/>
    <w:uiPriority w:val="34"/>
    <w:qFormat/>
    <w:rsid w:val="003E1ACE"/>
    <w:pPr>
      <w:ind w:left="720"/>
      <w:contextualSpacing/>
    </w:pPr>
  </w:style>
  <w:style w:type="character" w:styleId="Wyrnienieintensywne">
    <w:name w:val="Intense Emphasis"/>
    <w:basedOn w:val="Domylnaczcionkaakapitu"/>
    <w:uiPriority w:val="21"/>
    <w:qFormat/>
    <w:rsid w:val="003E1ACE"/>
    <w:rPr>
      <w:i/>
      <w:iCs/>
      <w:color w:val="0F4761" w:themeColor="accent1" w:themeShade="BF"/>
    </w:rPr>
  </w:style>
  <w:style w:type="paragraph" w:styleId="Cytatintensywny">
    <w:name w:val="Intense Quote"/>
    <w:basedOn w:val="Normalny"/>
    <w:next w:val="Normalny"/>
    <w:link w:val="CytatintensywnyZnak"/>
    <w:uiPriority w:val="30"/>
    <w:qFormat/>
    <w:rsid w:val="003E1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E1ACE"/>
    <w:rPr>
      <w:i/>
      <w:iCs/>
      <w:color w:val="0F4761" w:themeColor="accent1" w:themeShade="BF"/>
    </w:rPr>
  </w:style>
  <w:style w:type="character" w:styleId="Odwoanieintensywne">
    <w:name w:val="Intense Reference"/>
    <w:basedOn w:val="Domylnaczcionkaakapitu"/>
    <w:uiPriority w:val="32"/>
    <w:qFormat/>
    <w:rsid w:val="003E1ACE"/>
    <w:rPr>
      <w:b/>
      <w:bCs/>
      <w:smallCaps/>
      <w:color w:val="0F4761" w:themeColor="accent1" w:themeShade="BF"/>
      <w:spacing w:val="5"/>
    </w:rPr>
  </w:style>
  <w:style w:type="character" w:styleId="Hipercze">
    <w:name w:val="Hyperlink"/>
    <w:basedOn w:val="Domylnaczcionkaakapitu"/>
    <w:uiPriority w:val="99"/>
    <w:unhideWhenUsed/>
    <w:rsid w:val="0044067F"/>
    <w:rPr>
      <w:color w:val="467886" w:themeColor="hyperlink"/>
      <w:u w:val="single"/>
    </w:rPr>
  </w:style>
  <w:style w:type="character" w:styleId="Nierozpoznanawzmianka">
    <w:name w:val="Unresolved Mention"/>
    <w:basedOn w:val="Domylnaczcionkaakapitu"/>
    <w:uiPriority w:val="99"/>
    <w:semiHidden/>
    <w:unhideWhenUsed/>
    <w:rsid w:val="0044067F"/>
    <w:rPr>
      <w:color w:val="605E5C"/>
      <w:shd w:val="clear" w:color="auto" w:fill="E1DFDD"/>
    </w:rPr>
  </w:style>
  <w:style w:type="character" w:styleId="UyteHipercze">
    <w:name w:val="FollowedHyperlink"/>
    <w:basedOn w:val="Domylnaczcionkaakapitu"/>
    <w:uiPriority w:val="99"/>
    <w:semiHidden/>
    <w:unhideWhenUsed/>
    <w:rsid w:val="0043117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pson.pl/pl_PL/promotions/wymiana-projektora?cid=0:Online%20Media:Education%20Projectors%20Campaign:88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2243</TotalTime>
  <Pages>2</Pages>
  <Words>424</Words>
  <Characters>2549</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Jański</dc:creator>
  <cp:keywords/>
  <dc:description/>
  <cp:lastModifiedBy>Krzysztof Jański</cp:lastModifiedBy>
  <cp:revision>8</cp:revision>
  <dcterms:created xsi:type="dcterms:W3CDTF">2026-06-29T11:04:00Z</dcterms:created>
  <dcterms:modified xsi:type="dcterms:W3CDTF">2026-08-25T08:26:00Z</dcterms:modified>
</cp:coreProperties>
</file>