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E39D3" w14:textId="77777777" w:rsidR="00C16C8E" w:rsidRDefault="00C16C8E" w:rsidP="00C16C8E">
      <w:pPr>
        <w:rPr>
          <w:b/>
          <w:bCs/>
        </w:rPr>
      </w:pPr>
      <w:r w:rsidRPr="0011559F">
        <w:rPr>
          <w:b/>
          <w:bCs/>
        </w:rPr>
        <w:t>Szkoła nie nadąża za AI. Nauczyciele widzą rosnący problem</w:t>
      </w:r>
    </w:p>
    <w:p w14:paraId="2CCC112D" w14:textId="77777777" w:rsidR="00652F44" w:rsidRPr="00652F44" w:rsidRDefault="00652F44" w:rsidP="00652F44">
      <w:pPr>
        <w:rPr>
          <w:i/>
          <w:iCs/>
        </w:rPr>
      </w:pPr>
      <w:r w:rsidRPr="00652F44">
        <w:rPr>
          <w:i/>
          <w:iCs/>
        </w:rPr>
        <w:t>Ponad połowa nauczycieli apeluje o inwestycje w technologie, które pomogą przygotować młodzież na przyszłość</w:t>
      </w:r>
    </w:p>
    <w:p w14:paraId="2BBBC3D7" w14:textId="42684D9D" w:rsidR="00652F44" w:rsidRPr="00652F44" w:rsidRDefault="00652F44" w:rsidP="00652F44">
      <w:r w:rsidRPr="00652F44">
        <w:t>Nowe badanie przeprowadzone na zlecenie firmy Epson</w:t>
      </w:r>
      <w:r w:rsidR="0032461F">
        <w:t xml:space="preserve"> w Europie i Polsce</w:t>
      </w:r>
      <w:r w:rsidRPr="00652F44">
        <w:t xml:space="preserve"> pokazuje, że niemal połowa (46%) europejskich nauczycieli uważa, iż szkoły nie przygotowują uczniów do rzeczywistości kształtowanej przez AI. Dodatkowo </w:t>
      </w:r>
      <w:r w:rsidR="00C16C8E">
        <w:t>58</w:t>
      </w:r>
      <w:r w:rsidRPr="00652F44">
        <w:t>% ankietowanych pedagogów z Polski twierdzi, że system edukacji nie wie, jak przygotować dzisiejszych uczniów do funkcjonowania na rynku pracy, który będzie diametralnie różnił się od tego, jaki znaliśmy dotychczas.</w:t>
      </w:r>
    </w:p>
    <w:p w14:paraId="5D54D670" w14:textId="7E767E82" w:rsidR="00652F44" w:rsidRPr="00652F44" w:rsidRDefault="00652F44" w:rsidP="00652F44">
      <w:r w:rsidRPr="00652F44">
        <w:t>Zdaniem ekspertów akademickich skuteczne przygotowanie uczniów do zawodów, które dopiero zostaną ukształtowane przez sztuczną inteligencję, będzie wymagało rozwijania unikalnie ludzkich kompetencji – takich jak elastyczność, myślenie analityczne, kreatywność, krytyczne myślenie, inteligencja emocjonalna, przywództwo i rozwiązywanie problemów.</w:t>
      </w:r>
      <w:r w:rsidR="00C16C8E">
        <w:rPr>
          <w:rStyle w:val="Odwoanieprzypisudolnego"/>
        </w:rPr>
        <w:footnoteReference w:id="1"/>
      </w:r>
    </w:p>
    <w:p w14:paraId="1AB35D88" w14:textId="77777777" w:rsidR="00652F44" w:rsidRPr="00652F44" w:rsidRDefault="00652F44" w:rsidP="00652F44">
      <w:r w:rsidRPr="00652F44">
        <w:t>Te obserwacje potwierdzają też polscy nauczyciele: 58% z nich uważa, że krytyczne myślenie to najważniejsza umiejętność, jaką uczniowie będą musieli opanować, by odnieść sukces na rynku pracy, gdzie AI odgrywać będzie kluczową rolę.</w:t>
      </w:r>
    </w:p>
    <w:p w14:paraId="6E17F1E3" w14:textId="288C997C" w:rsidR="00652F44" w:rsidRPr="00652F44" w:rsidRDefault="00652F44" w:rsidP="00652F44">
      <w:r w:rsidRPr="00652F44">
        <w:t>Jednocześnie 76% praktyków edukacji nie zauważa żadnej poprawy w zakresie umiejętności krytycznego myślenia wśród uczniów, a 56% (</w:t>
      </w:r>
      <w:r w:rsidR="00794122">
        <w:t xml:space="preserve">w Polsce jest to </w:t>
      </w:r>
      <w:r w:rsidRPr="00652F44">
        <w:t xml:space="preserve">50%) twierdzi, że </w:t>
      </w:r>
      <w:r w:rsidR="0032461F">
        <w:t xml:space="preserve">ten </w:t>
      </w:r>
      <w:r w:rsidRPr="00652F44">
        <w:t>poziom wręcz się pogarsza.</w:t>
      </w:r>
    </w:p>
    <w:p w14:paraId="27A7763F" w14:textId="34E8F6ED" w:rsidR="00652F44" w:rsidRPr="00652F44" w:rsidRDefault="00652F44" w:rsidP="00652F44">
      <w:r w:rsidRPr="00652F44">
        <w:t>Problem ten dotyczy również innych kluczowych kompetencji. Blisko połowa nauczycieli w naszym kraju (47%) odnotowuje spadek umiejętności analitycznych i rozwiązywania problemów, a jeszcze więcej</w:t>
      </w:r>
      <w:r w:rsidR="00794122">
        <w:t xml:space="preserve"> – </w:t>
      </w:r>
      <w:r w:rsidRPr="00652F44">
        <w:t xml:space="preserve">bo 51% </w:t>
      </w:r>
      <w:r w:rsidR="00794122">
        <w:t xml:space="preserve">– </w:t>
      </w:r>
      <w:r w:rsidRPr="00652F44">
        <w:t xml:space="preserve">mówi także o </w:t>
      </w:r>
      <w:r w:rsidR="0032461F">
        <w:t xml:space="preserve">obniżaniu się poziomu </w:t>
      </w:r>
      <w:r w:rsidRPr="00652F44">
        <w:t>inteligencji emocjonalnej. Wyniki te sugerują, że obecny system edukacji nie nadąża za potrzebami w świecie, który dynamicznie się zmienia.</w:t>
      </w:r>
    </w:p>
    <w:p w14:paraId="5E700E33" w14:textId="6855A382" w:rsidR="00652F44" w:rsidRDefault="00652F44" w:rsidP="00652F44">
      <w:r w:rsidRPr="00652F44">
        <w:t xml:space="preserve">Jedną z najskuteczniejszych metod rozwijania </w:t>
      </w:r>
      <w:r w:rsidR="0032461F">
        <w:t xml:space="preserve">wspominanych </w:t>
      </w:r>
      <w:r w:rsidRPr="00652F44">
        <w:t>kompetencji jest nauczanie immersyjne</w:t>
      </w:r>
      <w:r w:rsidR="00C16C8E">
        <w:rPr>
          <w:rStyle w:val="Odwoanieprzypisudolnego"/>
        </w:rPr>
        <w:footnoteReference w:id="2"/>
      </w:r>
      <w:r w:rsidRPr="00652F44">
        <w:t xml:space="preserve"> – podejście, które wykorzystuje technologię do tworzenia interaktywnych środowisk symulujących rzeczywiste sytuacje. Obejmuje ono m.in. rzeczywistość wirtualną (VR), rozszerzoną (AR) czy projekcje przestrzenne, które wciągają uczniów w proces nauki.</w:t>
      </w:r>
      <w:r>
        <w:t xml:space="preserve"> </w:t>
      </w:r>
      <w:r w:rsidR="00C16C8E">
        <w:rPr>
          <w:rStyle w:val="Odwoanieprzypisudolnego"/>
        </w:rPr>
        <w:footnoteReference w:id="3"/>
      </w:r>
    </w:p>
    <w:p w14:paraId="69FD73CB" w14:textId="0A97D5CE" w:rsidR="00652F44" w:rsidRPr="00652F44" w:rsidRDefault="00652F44" w:rsidP="00652F44">
      <w:r w:rsidRPr="00652F44">
        <w:t xml:space="preserve">Jak podkreśla dr Sarah </w:t>
      </w:r>
      <w:proofErr w:type="spellStart"/>
      <w:r w:rsidRPr="00652F44">
        <w:t>Henkelmann</w:t>
      </w:r>
      <w:proofErr w:type="spellEnd"/>
      <w:r w:rsidRPr="00652F44">
        <w:t>-Hillebrand z Epson Europe:</w:t>
      </w:r>
      <w:r>
        <w:t xml:space="preserve"> </w:t>
      </w:r>
      <w:r w:rsidRPr="00652F44">
        <w:t xml:space="preserve">„Rynek pracy zmienia się w błyskawicznym tempie. Nie wiemy, jakich kompetencji będą potrzebować pracodawcy za kilka lat, gdy AI przejmie kolejne zadania. Wiemy natomiast, że ludzie </w:t>
      </w:r>
      <w:r w:rsidRPr="00652F44">
        <w:lastRenderedPageBreak/>
        <w:t>będą musieli potrafić myśleć krytycznie i odnajdywać się w niepewnych czasach. A nauka immersyjna to sprawdzony sposób na rozwijanie właśnie tych unikalnych dla człowieka umiejętności.”</w:t>
      </w:r>
    </w:p>
    <w:p w14:paraId="0BDDA707" w14:textId="386EA205" w:rsidR="00652F44" w:rsidRPr="00652F44" w:rsidRDefault="00652F44" w:rsidP="00652F44">
      <w:r w:rsidRPr="00652F44">
        <w:t xml:space="preserve">Na pytanie, czy takie technologie są regularnie wykorzystywane w ich szkołach, ponad trzy czwarte nauczycieli (78%) </w:t>
      </w:r>
      <w:r w:rsidR="0032461F">
        <w:t>wskaz</w:t>
      </w:r>
      <w:r w:rsidR="001C19EA">
        <w:t>a</w:t>
      </w:r>
      <w:r w:rsidR="0032461F">
        <w:t xml:space="preserve">ło </w:t>
      </w:r>
      <w:r w:rsidRPr="00652F44">
        <w:t>opcję: rzadko lub wcale. Jednocześnie średnio 55% europejskiej kadry – z czego aż 64% w Polsce – chciałoby, aby ich szkoła wprowadziła lub rozszerzyła wykorzystanie metod immersyjnych w nauczaniu.</w:t>
      </w:r>
    </w:p>
    <w:p w14:paraId="515D6B9E" w14:textId="77777777" w:rsidR="00652F44" w:rsidRDefault="00652F44" w:rsidP="00652F44">
      <w:r w:rsidRPr="00652F44">
        <w:t>Projektory stanowią bramę do nauki immersyjnej. Umożliwiają tworzenie wielkoformatowych, interaktywnych projekcji 360° lub ścian reagujących na dotyk, dzięki którym cała klasa może uczestniczyć we wspólnym, angażującym doświadczeniu edukacyjnym. Badanie pokazuje, że 56% europejskich pedagogów uważa, iż szkoły powinny inwestować w narzędzia takie jak projektory, aby wspierać nauczanie immersyjne. Warto zaznaczyć, że w Polsce oczekuje tego aż 62% badanych.</w:t>
      </w:r>
    </w:p>
    <w:p w14:paraId="0ABB1DBC" w14:textId="77777777" w:rsidR="00652F44" w:rsidRPr="00652F44" w:rsidRDefault="00652F44" w:rsidP="00652F44">
      <w:r w:rsidRPr="00652F44">
        <w:t xml:space="preserve">Jak zauważa Agata </w:t>
      </w:r>
      <w:proofErr w:type="spellStart"/>
      <w:r w:rsidRPr="00652F44">
        <w:t>Zbrożek</w:t>
      </w:r>
      <w:proofErr w:type="spellEnd"/>
      <w:r w:rsidRPr="00652F44">
        <w:t>, Marketing Manager Epson w Polsce, technologia może odegrać istotną rolę w budowaniu takich kompetencji w praktyce szkolnej:</w:t>
      </w:r>
      <w:r w:rsidRPr="00652F44">
        <w:br/>
        <w:t>„Nowoczesne narzędzia edukacyjne pomagają nauczycielom przenosić teorię do świata doświadczeń. Dzięki projekcji wielkoformatowej czy interaktywnym wizualizacjom uczniowie mogą dosłownie zanurzyć się w temacie lekcji – zobaczyć zjawiska, których nie da się pokazać na tradycyjnej tablicy. To zwiększa zaangażowanie, rozwija ciekawość i ułatwia zrozumienie złożonych zagadnień, jednocześnie wspierając kompetencje, które w świecie AI będą szczególnie ważne.”</w:t>
      </w:r>
    </w:p>
    <w:p w14:paraId="0AA88FDE" w14:textId="7FA3F1FA" w:rsidR="001F1F84" w:rsidRDefault="00652F44" w:rsidP="00652F44">
      <w:r w:rsidRPr="00652F44">
        <w:t>Dzięki rozwiązaniom Epson placówki edukacyjne mogą w praktyczny i skalowalny sposób wdrażać naukę immersyjną. Projektory tej marki potrafią zamienić zwykłą salę lekcyjną w interaktywne środowisko współpracy, pomagając nauczycielom prowadzić angażujące lekcje rozwijające zrozumienie i kreatywność.</w:t>
      </w:r>
    </w:p>
    <w:p w14:paraId="0929A209" w14:textId="5EDECFF8" w:rsidR="001F1F84" w:rsidRPr="00652F44" w:rsidRDefault="001F1F84" w:rsidP="00652F44">
      <w:r>
        <w:t xml:space="preserve">Cały raport pobrać można </w:t>
      </w:r>
      <w:hyperlink r:id="rId8" w:history="1">
        <w:r w:rsidRPr="001F1F84">
          <w:rPr>
            <w:rStyle w:val="Hipercze"/>
            <w:b/>
            <w:bCs/>
          </w:rPr>
          <w:t>ze strony Epson</w:t>
        </w:r>
      </w:hyperlink>
      <w:r>
        <w:t>.</w:t>
      </w:r>
    </w:p>
    <w:p w14:paraId="7EC4A0A2" w14:textId="77777777" w:rsidR="00C16C8E" w:rsidRDefault="00C16C8E" w:rsidP="00652F44">
      <w:pPr>
        <w:rPr>
          <w:b/>
          <w:bCs/>
          <w:sz w:val="22"/>
          <w:szCs w:val="22"/>
        </w:rPr>
      </w:pPr>
    </w:p>
    <w:p w14:paraId="33CE6BBC" w14:textId="47220272" w:rsidR="00652F44" w:rsidRPr="00C16C8E" w:rsidRDefault="00652F44" w:rsidP="00652F44">
      <w:pPr>
        <w:rPr>
          <w:sz w:val="22"/>
          <w:szCs w:val="22"/>
        </w:rPr>
      </w:pPr>
      <w:r w:rsidRPr="00C16C8E">
        <w:rPr>
          <w:b/>
          <w:bCs/>
          <w:sz w:val="22"/>
          <w:szCs w:val="22"/>
        </w:rPr>
        <w:t>Metodologia badań</w:t>
      </w:r>
    </w:p>
    <w:p w14:paraId="07722E3A" w14:textId="2303494F" w:rsidR="002409F1" w:rsidRPr="00C16C8E" w:rsidRDefault="00652F44">
      <w:pPr>
        <w:rPr>
          <w:sz w:val="22"/>
          <w:szCs w:val="22"/>
        </w:rPr>
      </w:pPr>
      <w:r w:rsidRPr="00C16C8E">
        <w:rPr>
          <w:sz w:val="22"/>
          <w:szCs w:val="22"/>
        </w:rPr>
        <w:t xml:space="preserve">Sondaż został zlecony przez Epson Europe i przeprowadzony przez agencję badawczą </w:t>
      </w:r>
      <w:proofErr w:type="spellStart"/>
      <w:r w:rsidRPr="00C16C8E">
        <w:rPr>
          <w:sz w:val="22"/>
          <w:szCs w:val="22"/>
        </w:rPr>
        <w:t>FocalData</w:t>
      </w:r>
      <w:proofErr w:type="spellEnd"/>
      <w:r w:rsidRPr="00C16C8E">
        <w:rPr>
          <w:sz w:val="22"/>
          <w:szCs w:val="22"/>
        </w:rPr>
        <w:t xml:space="preserve">. Ankietowanie odbyło się we wrześniu 2025 r. za pośrednictwem autorskiej platformy technologicznej </w:t>
      </w:r>
      <w:proofErr w:type="spellStart"/>
      <w:r w:rsidRPr="00C16C8E">
        <w:rPr>
          <w:sz w:val="22"/>
          <w:szCs w:val="22"/>
        </w:rPr>
        <w:t>FocalData</w:t>
      </w:r>
      <w:proofErr w:type="spellEnd"/>
      <w:r w:rsidRPr="00C16C8E">
        <w:rPr>
          <w:sz w:val="22"/>
          <w:szCs w:val="22"/>
        </w:rPr>
        <w:t xml:space="preserve"> połączonej za pośrednictwem interfejsu API z panelami online. W próbie wzięło udział 1624 nauczycieli ze szkół o różnych profilach, obejmujących zarówno szkolnictwo podstawowe, jak i średnie z Francji, Hiszpanii, Holandii, Niemiec, Polski, Portugalii, Wielkiej Brytanii i Włoch. Wyniki są przedstawiane jako wartości procentowe, zaokrąglone do najbliższej liczby całkowitej, z podziałem na poziomie kraju i grupy demograficznej w stosownych przypadkach.</w:t>
      </w:r>
    </w:p>
    <w:sectPr w:rsidR="002409F1" w:rsidRPr="00C16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AE470" w14:textId="77777777" w:rsidR="004E1FCB" w:rsidRDefault="004E1FCB" w:rsidP="00C16C8E">
      <w:pPr>
        <w:spacing w:after="0" w:line="240" w:lineRule="auto"/>
      </w:pPr>
      <w:r>
        <w:separator/>
      </w:r>
    </w:p>
  </w:endnote>
  <w:endnote w:type="continuationSeparator" w:id="0">
    <w:p w14:paraId="42524C23" w14:textId="77777777" w:rsidR="004E1FCB" w:rsidRDefault="004E1FCB" w:rsidP="00C16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296C4" w14:textId="77777777" w:rsidR="004E1FCB" w:rsidRDefault="004E1FCB" w:rsidP="00C16C8E">
      <w:pPr>
        <w:spacing w:after="0" w:line="240" w:lineRule="auto"/>
      </w:pPr>
      <w:r>
        <w:separator/>
      </w:r>
    </w:p>
  </w:footnote>
  <w:footnote w:type="continuationSeparator" w:id="0">
    <w:p w14:paraId="0FA7B593" w14:textId="77777777" w:rsidR="004E1FCB" w:rsidRDefault="004E1FCB" w:rsidP="00C16C8E">
      <w:pPr>
        <w:spacing w:after="0" w:line="240" w:lineRule="auto"/>
      </w:pPr>
      <w:r>
        <w:continuationSeparator/>
      </w:r>
    </w:p>
  </w:footnote>
  <w:footnote w:id="1">
    <w:p w14:paraId="22E04062" w14:textId="21887F23" w:rsidR="00C16C8E" w:rsidRPr="00C16C8E" w:rsidRDefault="00C16C8E" w:rsidP="00C16C8E">
      <w:pPr>
        <w:spacing w:after="0" w:line="240" w:lineRule="auto"/>
        <w:contextualSpacing/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C16C8E">
          <w:rPr>
            <w:rStyle w:val="Hipercze"/>
            <w:sz w:val="20"/>
            <w:szCs w:val="20"/>
          </w:rPr>
          <w:t>University of East London, Przygotowanie absolwentów do pracy w zawodach, których AI jeszcze nie stworzyła</w:t>
        </w:r>
      </w:hyperlink>
    </w:p>
  </w:footnote>
  <w:footnote w:id="2">
    <w:p w14:paraId="79CF184A" w14:textId="0D57BD2B" w:rsidR="00C16C8E" w:rsidRPr="00C16C8E" w:rsidRDefault="00C16C8E" w:rsidP="00C16C8E">
      <w:pPr>
        <w:spacing w:after="0" w:line="240" w:lineRule="auto"/>
        <w:contextualSpacing/>
        <w:rPr>
          <w:sz w:val="20"/>
          <w:szCs w:val="20"/>
        </w:rPr>
      </w:pPr>
      <w:r w:rsidRPr="00C16C8E">
        <w:rPr>
          <w:rStyle w:val="Odwoanieprzypisudolnego"/>
          <w:sz w:val="20"/>
          <w:szCs w:val="20"/>
        </w:rPr>
        <w:footnoteRef/>
      </w:r>
      <w:r w:rsidRPr="00C16C8E">
        <w:rPr>
          <w:sz w:val="20"/>
          <w:szCs w:val="20"/>
        </w:rPr>
        <w:t xml:space="preserve"> </w:t>
      </w:r>
      <w:hyperlink r:id="rId2" w:history="1">
        <w:proofErr w:type="spellStart"/>
        <w:r w:rsidRPr="00C16C8E">
          <w:rPr>
            <w:rStyle w:val="Hipercze"/>
            <w:sz w:val="20"/>
            <w:szCs w:val="20"/>
          </w:rPr>
          <w:t>EdTech</w:t>
        </w:r>
        <w:proofErr w:type="spellEnd"/>
        <w:r w:rsidRPr="00C16C8E">
          <w:rPr>
            <w:rStyle w:val="Hipercze"/>
            <w:sz w:val="20"/>
            <w:szCs w:val="20"/>
          </w:rPr>
          <w:t>, Jak technologia immersyjna wspiera cztery "C" uczenia się</w:t>
        </w:r>
      </w:hyperlink>
    </w:p>
  </w:footnote>
  <w:footnote w:id="3">
    <w:p w14:paraId="2B1DE47F" w14:textId="2F6F83EF" w:rsidR="00C16C8E" w:rsidRDefault="00C16C8E" w:rsidP="00C16C8E">
      <w:pPr>
        <w:pStyle w:val="Tekstprzypisudolnego"/>
        <w:contextualSpacing/>
      </w:pPr>
      <w:r w:rsidRPr="00C16C8E">
        <w:rPr>
          <w:rStyle w:val="Odwoanieprzypisudolnego"/>
        </w:rPr>
        <w:footnoteRef/>
      </w:r>
      <w:r w:rsidRPr="00C16C8E">
        <w:t xml:space="preserve"> </w:t>
      </w:r>
      <w:hyperlink r:id="rId3" w:history="1">
        <w:proofErr w:type="spellStart"/>
        <w:r w:rsidRPr="00C16C8E">
          <w:rPr>
            <w:rStyle w:val="Hipercze"/>
          </w:rPr>
          <w:t>EdTech</w:t>
        </w:r>
        <w:proofErr w:type="spellEnd"/>
        <w:r w:rsidRPr="00C16C8E">
          <w:rPr>
            <w:rStyle w:val="Hipercze"/>
          </w:rPr>
          <w:t>, pytania i odpowiedzi: Nowoczesne projektory oferują wciągające możliwości uczenia się w całym kampusie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71791"/>
    <w:multiLevelType w:val="multilevel"/>
    <w:tmpl w:val="8052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036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F44"/>
    <w:rsid w:val="00002145"/>
    <w:rsid w:val="00154E9F"/>
    <w:rsid w:val="001653D1"/>
    <w:rsid w:val="001C19EA"/>
    <w:rsid w:val="001F1F84"/>
    <w:rsid w:val="002409F1"/>
    <w:rsid w:val="00315AC8"/>
    <w:rsid w:val="0032461F"/>
    <w:rsid w:val="00381464"/>
    <w:rsid w:val="004D6950"/>
    <w:rsid w:val="004E1FCB"/>
    <w:rsid w:val="004F02DA"/>
    <w:rsid w:val="00652F44"/>
    <w:rsid w:val="00794122"/>
    <w:rsid w:val="007C3B64"/>
    <w:rsid w:val="00885E4D"/>
    <w:rsid w:val="009A224D"/>
    <w:rsid w:val="00BD213A"/>
    <w:rsid w:val="00C16C8E"/>
    <w:rsid w:val="00F3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BD35F"/>
  <w15:docId w15:val="{F7F2E92E-1514-4B89-8B95-FB62D6D5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52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2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2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2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2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2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2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2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2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2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2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2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2F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2F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2F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2F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2F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2F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2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2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2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2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2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2F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2F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2F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2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2F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2F4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F1F84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1F8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94122"/>
    <w:rPr>
      <w:color w:val="96607D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6C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6C8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6C8E"/>
    <w:rPr>
      <w:vertAlign w:val="superscript"/>
    </w:rPr>
  </w:style>
  <w:style w:type="paragraph" w:styleId="Poprawka">
    <w:name w:val="Revision"/>
    <w:hidden/>
    <w:uiPriority w:val="99"/>
    <w:semiHidden/>
    <w:rsid w:val="001C19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on.epson-europe.com/files/assets/source/a/h/s/c/a25323-research-hires-pl-pl-immersive_learning_education_report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dtechmagazine.com/higher/article/2025/01/qa-modern-projectors-offer-immersive-learning-opportunities-across-campus" TargetMode="External"/><Relationship Id="rId2" Type="http://schemas.openxmlformats.org/officeDocument/2006/relationships/hyperlink" Target="https://edtechmagazine.com/k12/article/2020/03/how-immersive-technology-champions-four-cs-learning" TargetMode="External"/><Relationship Id="rId1" Type="http://schemas.openxmlformats.org/officeDocument/2006/relationships/hyperlink" Target="https://www.uel.ac.uk/about-uel/news/2024/october/preparing-graduates-jobs-ai-has-yet-creat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DFC7A-00DE-44FE-9E2A-B95EF26C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4433</Characters>
  <Application>Microsoft Office Word</Application>
  <DocSecurity>0</DocSecurity>
  <Lines>71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Jański</dc:creator>
  <cp:keywords/>
  <dc:description/>
  <cp:lastModifiedBy>Krzysztof Jański</cp:lastModifiedBy>
  <cp:revision>2</cp:revision>
  <dcterms:created xsi:type="dcterms:W3CDTF">2026-03-20T12:06:00Z</dcterms:created>
  <dcterms:modified xsi:type="dcterms:W3CDTF">2026-03-20T12:06:00Z</dcterms:modified>
</cp:coreProperties>
</file>