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431AA" w14:textId="6C0B1A01" w:rsidR="00C74CB2" w:rsidRDefault="00C74CB2">
      <w:pPr>
        <w:rPr>
          <w:b/>
          <w:bCs/>
          <w:sz w:val="28"/>
          <w:szCs w:val="28"/>
        </w:rPr>
      </w:pPr>
      <w:r w:rsidRPr="00C74CB2">
        <w:rPr>
          <w:b/>
          <w:bCs/>
          <w:sz w:val="28"/>
          <w:szCs w:val="28"/>
        </w:rPr>
        <w:t xml:space="preserve">AI wyprzedza szkolną rzeczywistość. 80 procent nauczycieli ma </w:t>
      </w:r>
      <w:r>
        <w:rPr>
          <w:b/>
          <w:bCs/>
          <w:sz w:val="28"/>
          <w:szCs w:val="28"/>
        </w:rPr>
        <w:t xml:space="preserve">duże </w:t>
      </w:r>
      <w:r w:rsidRPr="00C74CB2">
        <w:rPr>
          <w:b/>
          <w:bCs/>
          <w:sz w:val="28"/>
          <w:szCs w:val="28"/>
        </w:rPr>
        <w:t>obawy związane z tempem tej zmiany</w:t>
      </w:r>
    </w:p>
    <w:p w14:paraId="49B80F3A" w14:textId="2811C6DC" w:rsidR="00B20CF2" w:rsidRPr="00B20CF2" w:rsidRDefault="00B20CF2" w:rsidP="00B20CF2">
      <w:pPr>
        <w:rPr>
          <w:sz w:val="22"/>
          <w:szCs w:val="22"/>
        </w:rPr>
      </w:pPr>
    </w:p>
    <w:p w14:paraId="352D0BEC" w14:textId="77777777" w:rsidR="00B20CF2" w:rsidRPr="00B20CF2" w:rsidRDefault="00B20CF2" w:rsidP="00B20CF2">
      <w:pPr>
        <w:rPr>
          <w:i/>
          <w:iCs/>
          <w:sz w:val="22"/>
          <w:szCs w:val="22"/>
        </w:rPr>
      </w:pPr>
      <w:r w:rsidRPr="00B20CF2">
        <w:rPr>
          <w:i/>
          <w:iCs/>
          <w:sz w:val="22"/>
          <w:szCs w:val="22"/>
        </w:rPr>
        <w:t>88 procent nauczycieli uważa, że uczniowie postrzegają sztuczną inteligencję jako łatwy sposób na wykonanie zadań bez konieczności krytycznego myślenia.</w:t>
      </w:r>
    </w:p>
    <w:p w14:paraId="1C2F2D23" w14:textId="2E3B7010" w:rsidR="00B20CF2" w:rsidRPr="00B20CF2" w:rsidRDefault="00B20CF2" w:rsidP="00B20CF2">
      <w:pPr>
        <w:rPr>
          <w:sz w:val="22"/>
          <w:szCs w:val="22"/>
        </w:rPr>
      </w:pPr>
      <w:r w:rsidRPr="00B20CF2">
        <w:rPr>
          <w:sz w:val="22"/>
          <w:szCs w:val="22"/>
        </w:rPr>
        <w:t xml:space="preserve">Nowy rok szkolny w Europie rozpoczyna się w cieniu rosnących obaw związanych ze sztuczną inteligencją. </w:t>
      </w:r>
      <w:r w:rsidRPr="00B20CF2">
        <w:rPr>
          <w:b/>
          <w:bCs/>
          <w:sz w:val="22"/>
          <w:szCs w:val="22"/>
        </w:rPr>
        <w:t>Z badań zleconych przez firmę Epson</w:t>
      </w:r>
      <w:r w:rsidRPr="00B20CF2">
        <w:rPr>
          <w:sz w:val="22"/>
          <w:szCs w:val="22"/>
        </w:rPr>
        <w:t xml:space="preserve"> wynika, że 80 procent nauczycieli z wybranych krajów uważa, iż AI trafia do sal lekcyjnych szybciej</w:t>
      </w:r>
      <w:r w:rsidR="00675E51">
        <w:rPr>
          <w:sz w:val="22"/>
          <w:szCs w:val="22"/>
        </w:rPr>
        <w:t xml:space="preserve"> </w:t>
      </w:r>
      <w:r w:rsidRPr="00B20CF2">
        <w:rPr>
          <w:sz w:val="22"/>
          <w:szCs w:val="22"/>
        </w:rPr>
        <w:t>niż szkoły są w stanie przygotować się na tę zmianę.</w:t>
      </w:r>
    </w:p>
    <w:p w14:paraId="58E3475E" w14:textId="77777777" w:rsidR="00B20CF2" w:rsidRPr="00B20CF2" w:rsidRDefault="00B20CF2" w:rsidP="00B20CF2">
      <w:pPr>
        <w:rPr>
          <w:sz w:val="22"/>
          <w:szCs w:val="22"/>
        </w:rPr>
      </w:pPr>
      <w:r w:rsidRPr="00B20CF2">
        <w:rPr>
          <w:b/>
          <w:bCs/>
          <w:sz w:val="22"/>
          <w:szCs w:val="22"/>
        </w:rPr>
        <w:t>Ten trend napędzają uczniowie – aż 76 procent z nich liczy na to, że będzie mogło korzystać ze sztucznej inteligencji w nauce.</w:t>
      </w:r>
      <w:r w:rsidRPr="00B20CF2">
        <w:rPr>
          <w:sz w:val="22"/>
          <w:szCs w:val="22"/>
        </w:rPr>
        <w:t xml:space="preserve"> Co więcej, 87 procent tej grupy już teraz korzysta z jakiejś formy AI co najmniej raz w tygodniu w celach szkolnych.</w:t>
      </w:r>
    </w:p>
    <w:p w14:paraId="2235CF12" w14:textId="77777777" w:rsidR="00B20CF2" w:rsidRPr="00B20CF2" w:rsidRDefault="00B20CF2" w:rsidP="00B20CF2">
      <w:pPr>
        <w:rPr>
          <w:sz w:val="22"/>
          <w:szCs w:val="22"/>
        </w:rPr>
      </w:pPr>
      <w:r w:rsidRPr="00B20CF2">
        <w:rPr>
          <w:sz w:val="22"/>
          <w:szCs w:val="22"/>
        </w:rPr>
        <w:t>Tymczasem nauczyciele podchodzą do tego narzędzia z większą ostrożnością – 68 procent z nich jest przekonanych, że wykorzystywanie przez uczniów sztucznej inteligencji do odrabiania zadań ma negatywny wpływ na proces uczenia się.</w:t>
      </w:r>
    </w:p>
    <w:p w14:paraId="0555AAED" w14:textId="77777777" w:rsidR="00B20CF2" w:rsidRPr="00B20CF2" w:rsidRDefault="00B20CF2" w:rsidP="00B20CF2">
      <w:pPr>
        <w:rPr>
          <w:sz w:val="22"/>
          <w:szCs w:val="22"/>
        </w:rPr>
      </w:pPr>
      <w:r w:rsidRPr="00B20CF2">
        <w:rPr>
          <w:sz w:val="22"/>
          <w:szCs w:val="22"/>
        </w:rPr>
        <w:t xml:space="preserve">81 procent badanych zauważa, że uczniowie sądzą, iż nie muszą już uczyć się ortografii ani podstaw matematyki, ponieważ w tych obszarach może wyręczyć ich AI. Z kolei 72 procent nauczycieli obawia się, że dzięki takim narzędziom ich podopieczni mogą uzyskiwać oceny, na które nie zasługują. </w:t>
      </w:r>
      <w:r w:rsidRPr="00B20CF2">
        <w:rPr>
          <w:b/>
          <w:bCs/>
          <w:sz w:val="22"/>
          <w:szCs w:val="22"/>
        </w:rPr>
        <w:t>Aż 88 procent ankietowanych twierdzi też, że młodzi ludzie postrzegają sztuczną inteligencję jako łatwy sposób na wykonanie zadań</w:t>
      </w:r>
      <w:r w:rsidRPr="00B20CF2">
        <w:rPr>
          <w:sz w:val="22"/>
          <w:szCs w:val="22"/>
        </w:rPr>
        <w:t xml:space="preserve"> bez konieczności samodzielnego myślenia.</w:t>
      </w:r>
    </w:p>
    <w:p w14:paraId="428B0137" w14:textId="0F74EACD" w:rsidR="00B20CF2" w:rsidRPr="00B20CF2" w:rsidRDefault="00B20CF2" w:rsidP="00B20CF2">
      <w:pPr>
        <w:rPr>
          <w:sz w:val="22"/>
          <w:szCs w:val="22"/>
        </w:rPr>
      </w:pPr>
      <w:r w:rsidRPr="00B20CF2">
        <w:rPr>
          <w:sz w:val="22"/>
          <w:szCs w:val="22"/>
        </w:rPr>
        <w:t xml:space="preserve">Wyniki te nabierają szczególnego znaczenia w kontekście unijnego aktu o sztucznej </w:t>
      </w:r>
      <w:r w:rsidR="00D112FD" w:rsidRPr="00B20CF2">
        <w:rPr>
          <w:sz w:val="22"/>
          <w:szCs w:val="22"/>
        </w:rPr>
        <w:t>inteligencji</w:t>
      </w:r>
      <w:r w:rsidR="00D112FD" w:rsidRPr="00D112FD">
        <w:rPr>
          <w:sz w:val="22"/>
          <w:szCs w:val="22"/>
          <w:vertAlign w:val="superscript"/>
        </w:rPr>
        <w:t xml:space="preserve"> [</w:t>
      </w:r>
      <w:r w:rsidR="00D112FD" w:rsidRPr="00D112FD">
        <w:rPr>
          <w:rStyle w:val="Odwoanieprzypisukocowego"/>
          <w:sz w:val="22"/>
          <w:szCs w:val="22"/>
        </w:rPr>
        <w:endnoteReference w:id="1"/>
      </w:r>
      <w:r w:rsidR="00D112FD" w:rsidRPr="00D112FD">
        <w:rPr>
          <w:sz w:val="22"/>
          <w:szCs w:val="22"/>
          <w:vertAlign w:val="superscript"/>
        </w:rPr>
        <w:t>]</w:t>
      </w:r>
      <w:r w:rsidR="00D112FD" w:rsidRPr="00B20CF2">
        <w:rPr>
          <w:sz w:val="22"/>
          <w:szCs w:val="22"/>
        </w:rPr>
        <w:t>,</w:t>
      </w:r>
      <w:r w:rsidR="00D112FD">
        <w:rPr>
          <w:sz w:val="22"/>
          <w:szCs w:val="22"/>
        </w:rPr>
        <w:t xml:space="preserve"> </w:t>
      </w:r>
      <w:r w:rsidRPr="00B20CF2">
        <w:rPr>
          <w:sz w:val="22"/>
          <w:szCs w:val="22"/>
        </w:rPr>
        <w:t>który wprowadza m.in. wymogi dotyczące odpowiednich kompetencji w zakresie AI wśród osób korzystających z takich systemów – również w placówkach edukacyjnych</w:t>
      </w:r>
      <w:r w:rsidR="00D112FD" w:rsidRPr="00D112FD">
        <w:rPr>
          <w:sz w:val="22"/>
          <w:szCs w:val="22"/>
          <w:vertAlign w:val="superscript"/>
        </w:rPr>
        <w:t xml:space="preserve"> [</w:t>
      </w:r>
      <w:r w:rsidR="00D112FD" w:rsidRPr="00D112FD">
        <w:rPr>
          <w:rStyle w:val="Odwoanieprzypisukocowego"/>
          <w:sz w:val="22"/>
          <w:szCs w:val="22"/>
        </w:rPr>
        <w:endnoteReference w:id="2"/>
      </w:r>
      <w:r w:rsidR="00D112FD" w:rsidRPr="00D112FD">
        <w:rPr>
          <w:vertAlign w:val="superscript"/>
        </w:rPr>
        <w:t>]</w:t>
      </w:r>
      <w:r w:rsidR="00D112FD" w:rsidRPr="00B20CF2">
        <w:rPr>
          <w:sz w:val="22"/>
          <w:szCs w:val="22"/>
        </w:rPr>
        <w:t>.</w:t>
      </w:r>
    </w:p>
    <w:p w14:paraId="69BA80E1" w14:textId="77777777" w:rsidR="00B20CF2" w:rsidRPr="00B20CF2" w:rsidRDefault="00B20CF2" w:rsidP="00B20CF2">
      <w:pPr>
        <w:rPr>
          <w:sz w:val="22"/>
          <w:szCs w:val="22"/>
        </w:rPr>
      </w:pPr>
      <w:r w:rsidRPr="00B20CF2">
        <w:rPr>
          <w:sz w:val="22"/>
          <w:szCs w:val="22"/>
        </w:rPr>
        <w:t>Potrzebę takiego wsparcia potwierdzają sami nauczyciele. 82 procent z nich chciałoby potrafić lepiej monitorować wykorzystanie sztucznej inteligencji przez uczniów, a 78 procent oczekuje dodatkowych szkoleń i praktycznych wskazówek dotyczących wykorzystania tej technologii we własnej pracy.</w:t>
      </w:r>
    </w:p>
    <w:p w14:paraId="32EF3924" w14:textId="2D55F121" w:rsidR="00B20CF2" w:rsidRPr="00B20CF2" w:rsidRDefault="00B20CF2" w:rsidP="00B20CF2">
      <w:pPr>
        <w:rPr>
          <w:sz w:val="22"/>
          <w:szCs w:val="22"/>
        </w:rPr>
      </w:pPr>
      <w:r w:rsidRPr="00B20CF2">
        <w:rPr>
          <w:sz w:val="22"/>
          <w:szCs w:val="22"/>
        </w:rPr>
        <w:t xml:space="preserve">Naukowcy wskazują, że </w:t>
      </w:r>
      <w:r w:rsidRPr="00B20CF2">
        <w:rPr>
          <w:b/>
          <w:bCs/>
          <w:sz w:val="22"/>
          <w:szCs w:val="22"/>
        </w:rPr>
        <w:t>ważnym sposobem przygotowania uczniów do przyszłości zdominowanej przez AI jest pomoc w rozwijaniu w nich unikalnych kompetencji ludzkich</w:t>
      </w:r>
      <w:r w:rsidRPr="00B20CF2">
        <w:rPr>
          <w:sz w:val="22"/>
          <w:szCs w:val="22"/>
        </w:rPr>
        <w:t>, takich jak adaptacja do nowych warunków, myślenie analityczne, kreatywność, krytyczne myślenie, inteligencja emocjonalna, zdolności przywódcze oraz umiejętność rozwiązywania problemów</w:t>
      </w:r>
      <w:r w:rsidR="00D112FD">
        <w:rPr>
          <w:sz w:val="22"/>
          <w:szCs w:val="22"/>
        </w:rPr>
        <w:t xml:space="preserve"> </w:t>
      </w:r>
      <w:r w:rsidR="00D112FD" w:rsidRPr="00D112FD">
        <w:rPr>
          <w:sz w:val="22"/>
          <w:szCs w:val="22"/>
          <w:vertAlign w:val="superscript"/>
        </w:rPr>
        <w:t>[</w:t>
      </w:r>
      <w:r w:rsidR="00D112FD" w:rsidRPr="00D112FD">
        <w:rPr>
          <w:rStyle w:val="Odwoanieprzypisukocowego"/>
          <w:sz w:val="22"/>
          <w:szCs w:val="22"/>
        </w:rPr>
        <w:endnoteReference w:id="3"/>
      </w:r>
      <w:r w:rsidR="00D112FD" w:rsidRPr="00D112FD">
        <w:rPr>
          <w:sz w:val="22"/>
          <w:szCs w:val="22"/>
          <w:vertAlign w:val="superscript"/>
        </w:rPr>
        <w:t>]</w:t>
      </w:r>
      <w:r w:rsidRPr="00B20CF2">
        <w:rPr>
          <w:sz w:val="22"/>
          <w:szCs w:val="22"/>
        </w:rPr>
        <w:t>. Można to osiągnąć dzięki nauce immersyjnej</w:t>
      </w:r>
      <w:r w:rsidR="00D112FD">
        <w:rPr>
          <w:sz w:val="22"/>
          <w:szCs w:val="22"/>
        </w:rPr>
        <w:t xml:space="preserve"> </w:t>
      </w:r>
      <w:r w:rsidR="00D112FD" w:rsidRPr="00D112FD">
        <w:rPr>
          <w:sz w:val="22"/>
          <w:szCs w:val="22"/>
          <w:vertAlign w:val="superscript"/>
        </w:rPr>
        <w:t>[</w:t>
      </w:r>
      <w:r w:rsidR="00D112FD" w:rsidRPr="00D112FD">
        <w:rPr>
          <w:rStyle w:val="Odwoanieprzypisukocowego"/>
          <w:sz w:val="22"/>
          <w:szCs w:val="22"/>
        </w:rPr>
        <w:endnoteReference w:id="4"/>
      </w:r>
      <w:r w:rsidR="00D112FD" w:rsidRPr="00D112FD">
        <w:rPr>
          <w:sz w:val="22"/>
          <w:szCs w:val="22"/>
          <w:vertAlign w:val="superscript"/>
        </w:rPr>
        <w:t>]</w:t>
      </w:r>
      <w:r w:rsidR="00D112FD">
        <w:t xml:space="preserve">  </w:t>
      </w:r>
      <w:r w:rsidRPr="00B20CF2">
        <w:rPr>
          <w:sz w:val="22"/>
          <w:szCs w:val="22"/>
        </w:rPr>
        <w:t>z wykorzystaniem wirtualnej rzeczywistości, rzeczywistości rozszerzonej oraz projektorów</w:t>
      </w:r>
      <w:r w:rsidR="00D112FD">
        <w:rPr>
          <w:sz w:val="22"/>
          <w:szCs w:val="22"/>
        </w:rPr>
        <w:t xml:space="preserve"> </w:t>
      </w:r>
      <w:r w:rsidR="00D112FD" w:rsidRPr="00D112FD">
        <w:rPr>
          <w:sz w:val="22"/>
          <w:szCs w:val="22"/>
          <w:vertAlign w:val="superscript"/>
        </w:rPr>
        <w:t>[</w:t>
      </w:r>
      <w:r w:rsidR="00D112FD" w:rsidRPr="00D112FD">
        <w:rPr>
          <w:rStyle w:val="Odwoanieprzypisukocowego"/>
          <w:sz w:val="22"/>
          <w:szCs w:val="22"/>
        </w:rPr>
        <w:endnoteReference w:id="5"/>
      </w:r>
      <w:r w:rsidR="00D112FD" w:rsidRPr="00D112FD">
        <w:rPr>
          <w:sz w:val="22"/>
          <w:szCs w:val="22"/>
          <w:vertAlign w:val="superscript"/>
        </w:rPr>
        <w:t>]</w:t>
      </w:r>
      <w:r w:rsidRPr="00B20CF2">
        <w:rPr>
          <w:sz w:val="22"/>
          <w:szCs w:val="22"/>
        </w:rPr>
        <w:t>.</w:t>
      </w:r>
    </w:p>
    <w:p w14:paraId="1E6FE828" w14:textId="77777777" w:rsidR="00B20CF2" w:rsidRPr="00B20CF2" w:rsidRDefault="00B20CF2" w:rsidP="00B20CF2">
      <w:pPr>
        <w:rPr>
          <w:sz w:val="22"/>
          <w:szCs w:val="22"/>
        </w:rPr>
      </w:pPr>
      <w:r w:rsidRPr="00B20CF2">
        <w:rPr>
          <w:sz w:val="22"/>
          <w:szCs w:val="22"/>
        </w:rPr>
        <w:t xml:space="preserve">„Sztuczna inteligencja rozwija się bardzo szybko, a uczniowie chcą z niej korzystać. Dlatego szkoły potrzebują jasnych zasad, wytycznych i odpowiednich szkoleń. Warto jednak patrzeć na AI nie tylko jak na wyzwanie, lecz także jak na narzędzie, które może wspierać edukację. Połączenie sztucznej inteligencji z technologiami takimi jak projekcja może pomóc tworzyć bardziej angażujące, interaktywne środowisko nauki, sprzyjające współpracy i rozwijaniu </w:t>
      </w:r>
      <w:r w:rsidRPr="00B20CF2">
        <w:rPr>
          <w:sz w:val="22"/>
          <w:szCs w:val="22"/>
        </w:rPr>
        <w:lastRenderedPageBreak/>
        <w:t xml:space="preserve">kompetencji potrzebnych w przyszłości” – powiedziała </w:t>
      </w:r>
      <w:r w:rsidRPr="00B20CF2">
        <w:rPr>
          <w:b/>
          <w:bCs/>
          <w:sz w:val="22"/>
          <w:szCs w:val="22"/>
        </w:rPr>
        <w:t>Dr Sarah Henkelmann-Hillebrand, ekspertka odpowiedzialna za obszar edukacji w Epson Europe.</w:t>
      </w:r>
    </w:p>
    <w:p w14:paraId="462A0459" w14:textId="07C68EF2" w:rsidR="00B20CF2" w:rsidRDefault="00B20CF2" w:rsidP="00B20CF2">
      <w:pPr>
        <w:rPr>
          <w:sz w:val="22"/>
          <w:szCs w:val="22"/>
        </w:rPr>
      </w:pPr>
      <w:r w:rsidRPr="00B20CF2">
        <w:rPr>
          <w:sz w:val="22"/>
          <w:szCs w:val="22"/>
        </w:rPr>
        <w:t xml:space="preserve">Cytowane wyniki pochodzą z badania </w:t>
      </w:r>
      <w:r w:rsidR="00923DC9" w:rsidRPr="00923DC9">
        <w:rPr>
          <w:i/>
          <w:iCs/>
          <w:sz w:val="22"/>
          <w:szCs w:val="22"/>
        </w:rPr>
        <w:t xml:space="preserve">Educate to Empower 2026 </w:t>
      </w:r>
      <w:r w:rsidR="00923DC9" w:rsidRPr="00923DC9">
        <w:rPr>
          <w:sz w:val="22"/>
          <w:szCs w:val="22"/>
        </w:rPr>
        <w:t>(Edukacja daje moc 2026</w:t>
      </w:r>
      <w:r w:rsidRPr="00B20CF2">
        <w:rPr>
          <w:sz w:val="22"/>
          <w:szCs w:val="22"/>
        </w:rPr>
        <w:t>), przeprowadzonego na zlecenie firmy Epson. W ciągu najbliższych miesięcy opublikowane zostaną kolejne dane.</w:t>
      </w:r>
    </w:p>
    <w:p w14:paraId="76CFCF35" w14:textId="77777777" w:rsidR="00B72FF0" w:rsidRPr="00B20CF2" w:rsidRDefault="00B72FF0" w:rsidP="00B20CF2">
      <w:pPr>
        <w:rPr>
          <w:sz w:val="22"/>
          <w:szCs w:val="22"/>
        </w:rPr>
      </w:pPr>
    </w:p>
    <w:p w14:paraId="54F59E8D" w14:textId="77777777" w:rsidR="00B20CF2" w:rsidRPr="00B20CF2" w:rsidRDefault="00B20CF2" w:rsidP="00B20CF2">
      <w:pPr>
        <w:rPr>
          <w:sz w:val="22"/>
          <w:szCs w:val="22"/>
        </w:rPr>
      </w:pPr>
      <w:r w:rsidRPr="00B20CF2">
        <w:rPr>
          <w:b/>
          <w:bCs/>
          <w:sz w:val="22"/>
          <w:szCs w:val="22"/>
        </w:rPr>
        <w:t>Metodologia badań</w:t>
      </w:r>
    </w:p>
    <w:p w14:paraId="6DD0675A" w14:textId="77777777" w:rsidR="00B20CF2" w:rsidRDefault="00B20CF2" w:rsidP="00B20CF2">
      <w:pPr>
        <w:rPr>
          <w:sz w:val="22"/>
          <w:szCs w:val="22"/>
        </w:rPr>
      </w:pPr>
      <w:r w:rsidRPr="00B20CF2">
        <w:rPr>
          <w:sz w:val="22"/>
          <w:szCs w:val="22"/>
        </w:rPr>
        <w:t>Badanie zostało przeprowadzone przez firmę Focaldata na zlecenie Epson w lipcu i sierpniu 2026 roku. Wzięło w nim udział 3 360 osób z Wielkiej Brytanii, Francji, Włoch, Niemiec, Hiszpanii i Polski. Respondenci zostali podzieleni na cztery grupy: nauczycieli niezwiązanych zawodowo z IT (1 227 osób), uczniów w wieku 16–18 lat (1 219), obecnych i niedawnych uczestników przygotowania nauczycielskiego (611) oraz szkolnych specjalistów i osób odpowiedzialnych za decyzje dotyczące technologii (303). Każda grupa wypełniała osobną ankietę online. Przed analizą dane przeszły kontrolę jakości, a wyniki nie były dodatkowo ważone.</w:t>
      </w:r>
    </w:p>
    <w:p w14:paraId="6733CACE" w14:textId="77777777" w:rsidR="00B72FF0" w:rsidRPr="00B20CF2" w:rsidRDefault="00B72FF0" w:rsidP="00B20CF2">
      <w:pPr>
        <w:rPr>
          <w:sz w:val="22"/>
          <w:szCs w:val="22"/>
        </w:rPr>
      </w:pPr>
    </w:p>
    <w:p w14:paraId="6F19E99E" w14:textId="77777777" w:rsidR="00B20CF2" w:rsidRPr="00B20CF2" w:rsidRDefault="00B20CF2" w:rsidP="00B20CF2">
      <w:pPr>
        <w:rPr>
          <w:sz w:val="22"/>
          <w:szCs w:val="22"/>
        </w:rPr>
      </w:pPr>
      <w:r w:rsidRPr="00B20CF2">
        <w:rPr>
          <w:b/>
          <w:bCs/>
          <w:sz w:val="22"/>
          <w:szCs w:val="22"/>
        </w:rPr>
        <w:t>O firmie Epson</w:t>
      </w:r>
    </w:p>
    <w:p w14:paraId="50245167" w14:textId="77777777" w:rsidR="00B20CF2" w:rsidRPr="00B20CF2" w:rsidRDefault="00B20CF2" w:rsidP="00B20CF2">
      <w:pPr>
        <w:rPr>
          <w:sz w:val="22"/>
          <w:szCs w:val="22"/>
        </w:rPr>
      </w:pPr>
      <w:r w:rsidRPr="00B20CF2">
        <w:rPr>
          <w:sz w:val="22"/>
          <w:szCs w:val="22"/>
        </w:rPr>
        <w:t>Epson to globalna firma technologiczna i inżynieryjna, która rozwija wydajne, kompaktowe i precyzyjne rozwiązania, mające ułatwiać codzienne życie i przyczyniać się do pozytywnych zmian na świecie. Jej technologie znajdują zastosowanie m.in. w przemyśle i robotyce, druku biurowym i domowym oraz rozwiązaniach wizualnych.</w:t>
      </w:r>
    </w:p>
    <w:p w14:paraId="1C53B1C4" w14:textId="77777777" w:rsidR="00B20CF2" w:rsidRPr="00B20CF2" w:rsidRDefault="00B20CF2" w:rsidP="00B20CF2">
      <w:pPr>
        <w:rPr>
          <w:sz w:val="22"/>
          <w:szCs w:val="22"/>
        </w:rPr>
      </w:pPr>
      <w:r w:rsidRPr="00B20CF2">
        <w:rPr>
          <w:sz w:val="22"/>
          <w:szCs w:val="22"/>
        </w:rPr>
        <w:t>Grupa Epson, której spółką macierzystą jest japońska Seiko Epson Corporation, osiąga roczne przychody przekraczające 1,4 biliona jenów.</w:t>
      </w:r>
    </w:p>
    <w:p w14:paraId="51D75B68" w14:textId="77777777" w:rsidR="00B20CF2" w:rsidRPr="00B20CF2" w:rsidRDefault="00B20CF2" w:rsidP="00B20CF2">
      <w:pPr>
        <w:rPr>
          <w:sz w:val="22"/>
          <w:szCs w:val="22"/>
        </w:rPr>
      </w:pPr>
      <w:r w:rsidRPr="00B20CF2">
        <w:rPr>
          <w:sz w:val="22"/>
          <w:szCs w:val="22"/>
        </w:rPr>
        <w:t>W sektorze edukacji Epson oferuje rozwiązania do druku i projekcji, które wspierają nowoczesne, oparte na współpracy środowisko nauki. Pomagają nauczycielom prezentować angażujące treści, sprawniej prowadzić zajęcia i ograniczać koszty, a uczniom zapewniają czytelne materiały wizualne oraz łatwe w obsłudze narzędzia.</w:t>
      </w:r>
    </w:p>
    <w:p w14:paraId="0E100932" w14:textId="2CEA0588" w:rsidR="00C74CB2" w:rsidRDefault="00B20CF2">
      <w:pPr>
        <w:rPr>
          <w:sz w:val="22"/>
          <w:szCs w:val="22"/>
        </w:rPr>
      </w:pPr>
      <w:r w:rsidRPr="00B20CF2">
        <w:rPr>
          <w:sz w:val="22"/>
          <w:szCs w:val="22"/>
        </w:rPr>
        <w:t xml:space="preserve">Więcej na stronie: </w:t>
      </w:r>
      <w:hyperlink r:id="rId7" w:history="1">
        <w:r w:rsidRPr="00B20CF2">
          <w:rPr>
            <w:rStyle w:val="Hipercze"/>
            <w:sz w:val="22"/>
            <w:szCs w:val="22"/>
          </w:rPr>
          <w:t>www.epson.pl/education</w:t>
        </w:r>
      </w:hyperlink>
    </w:p>
    <w:p w14:paraId="272637E9" w14:textId="77777777" w:rsidR="00D112FD" w:rsidRPr="00FD43D4" w:rsidRDefault="00D112FD">
      <w:pPr>
        <w:rPr>
          <w:sz w:val="22"/>
          <w:szCs w:val="22"/>
        </w:rPr>
      </w:pPr>
    </w:p>
    <w:sectPr w:rsidR="00D112FD" w:rsidRPr="00FD43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B369E" w14:textId="77777777" w:rsidR="006850B5" w:rsidRDefault="006850B5" w:rsidP="00D112FD">
      <w:pPr>
        <w:spacing w:after="0" w:line="240" w:lineRule="auto"/>
      </w:pPr>
      <w:r>
        <w:separator/>
      </w:r>
    </w:p>
  </w:endnote>
  <w:endnote w:type="continuationSeparator" w:id="0">
    <w:p w14:paraId="3869B47C" w14:textId="77777777" w:rsidR="006850B5" w:rsidRDefault="006850B5" w:rsidP="00D112FD">
      <w:pPr>
        <w:spacing w:after="0" w:line="240" w:lineRule="auto"/>
      </w:pPr>
      <w:r>
        <w:continuationSeparator/>
      </w:r>
    </w:p>
  </w:endnote>
  <w:endnote w:id="1">
    <w:p w14:paraId="3D06C3FA" w14:textId="703052B6" w:rsidR="00D112FD" w:rsidRDefault="00D112FD">
      <w:pPr>
        <w:pStyle w:val="Tekstprzypisukocowego"/>
      </w:pPr>
      <w:r>
        <w:rPr>
          <w:rStyle w:val="Odwoanieprzypisukocowego"/>
        </w:rPr>
        <w:endnoteRef/>
      </w:r>
      <w:r>
        <w:t xml:space="preserve"> </w:t>
      </w:r>
      <w:hyperlink r:id="rId1" w:history="1">
        <w:r w:rsidRPr="00B20CF2">
          <w:rPr>
            <w:rStyle w:val="Hipercze"/>
            <w:sz w:val="22"/>
            <w:szCs w:val="22"/>
          </w:rPr>
          <w:t>Komisja Europejska, Harmonogram wdrażania unijnej ustawy o sztucznej inteligencji</w:t>
        </w:r>
      </w:hyperlink>
    </w:p>
  </w:endnote>
  <w:endnote w:id="2">
    <w:p w14:paraId="37C5D341" w14:textId="7D864CA0" w:rsidR="00D112FD" w:rsidRDefault="00D112FD">
      <w:pPr>
        <w:pStyle w:val="Tekstprzypisukocowego"/>
      </w:pPr>
      <w:r>
        <w:rPr>
          <w:rStyle w:val="Odwoanieprzypisukocowego"/>
        </w:rPr>
        <w:endnoteRef/>
      </w:r>
      <w:r>
        <w:t xml:space="preserve"> </w:t>
      </w:r>
      <w:hyperlink r:id="rId2" w:history="1">
        <w:r w:rsidRPr="00B20CF2">
          <w:rPr>
            <w:rStyle w:val="Hipercze"/>
            <w:sz w:val="22"/>
            <w:szCs w:val="22"/>
          </w:rPr>
          <w:t>ISC Research, Ustawa UE o sztucznej inteligencji: co powinni wiedzieć dyrektorzy szkół międzynarodowych</w:t>
        </w:r>
      </w:hyperlink>
    </w:p>
  </w:endnote>
  <w:endnote w:id="3">
    <w:p w14:paraId="4929CDE1" w14:textId="4A5839A4" w:rsidR="00D112FD" w:rsidRPr="00D112FD" w:rsidRDefault="00D112FD" w:rsidP="00D112FD">
      <w:pPr>
        <w:rPr>
          <w:sz w:val="22"/>
          <w:szCs w:val="22"/>
        </w:rPr>
      </w:pPr>
      <w:r>
        <w:rPr>
          <w:rStyle w:val="Odwoanieprzypisukocowego"/>
        </w:rPr>
        <w:endnoteRef/>
      </w:r>
      <w:r>
        <w:t xml:space="preserve"> </w:t>
      </w:r>
      <w:hyperlink r:id="rId3" w:history="1">
        <w:r w:rsidRPr="00B20CF2">
          <w:rPr>
            <w:rStyle w:val="Hipercze"/>
            <w:sz w:val="22"/>
            <w:szCs w:val="22"/>
          </w:rPr>
          <w:t>Uniwersytet Wschodniego Londynu, Przygotowanie absolwentów do pracy w zawodach, których sztuczna inteligencja jeszcze nie stworzyła</w:t>
        </w:r>
      </w:hyperlink>
    </w:p>
  </w:endnote>
  <w:endnote w:id="4">
    <w:p w14:paraId="50DAE5ED" w14:textId="62895A40" w:rsidR="00D112FD" w:rsidRDefault="00D112FD">
      <w:pPr>
        <w:pStyle w:val="Tekstprzypisukocowego"/>
      </w:pPr>
      <w:r>
        <w:rPr>
          <w:rStyle w:val="Odwoanieprzypisukocowego"/>
        </w:rPr>
        <w:endnoteRef/>
      </w:r>
      <w:r>
        <w:t xml:space="preserve"> </w:t>
      </w:r>
      <w:hyperlink r:id="rId4" w:history="1">
        <w:r w:rsidRPr="00B20CF2">
          <w:rPr>
            <w:rStyle w:val="Hipercze"/>
            <w:sz w:val="22"/>
            <w:szCs w:val="22"/>
          </w:rPr>
          <w:t>EdTech – jak technologie immersyjne wspierają cztery filary nauczania</w:t>
        </w:r>
      </w:hyperlink>
    </w:p>
  </w:endnote>
  <w:endnote w:id="5">
    <w:p w14:paraId="2ADCC477" w14:textId="77777777" w:rsidR="00D112FD" w:rsidRPr="00FD43D4" w:rsidRDefault="00D112FD" w:rsidP="00D112FD">
      <w:pPr>
        <w:rPr>
          <w:sz w:val="22"/>
          <w:szCs w:val="22"/>
        </w:rPr>
      </w:pPr>
      <w:r>
        <w:rPr>
          <w:rStyle w:val="Odwoanieprzypisukocowego"/>
        </w:rPr>
        <w:endnoteRef/>
      </w:r>
      <w:r>
        <w:t xml:space="preserve"> </w:t>
      </w:r>
      <w:hyperlink r:id="rId5" w:history="1">
        <w:r w:rsidRPr="00B20CF2">
          <w:rPr>
            <w:rStyle w:val="Hipercze"/>
            <w:sz w:val="22"/>
            <w:szCs w:val="22"/>
          </w:rPr>
          <w:t>EdTech, pytania i odpowiedzi: Nowoczesne projektory zapewniają możliwości immersyjnej nauki na terenie całego kampusu</w:t>
        </w:r>
      </w:hyperlink>
    </w:p>
    <w:p w14:paraId="57D9C2CF" w14:textId="7269E4DD" w:rsidR="00D112FD" w:rsidRDefault="00D112FD">
      <w:pPr>
        <w:pStyle w:val="Tekstprzypisukocoweg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FA858" w14:textId="77777777" w:rsidR="006850B5" w:rsidRDefault="006850B5" w:rsidP="00D112FD">
      <w:pPr>
        <w:spacing w:after="0" w:line="240" w:lineRule="auto"/>
      </w:pPr>
      <w:r>
        <w:separator/>
      </w:r>
    </w:p>
  </w:footnote>
  <w:footnote w:type="continuationSeparator" w:id="0">
    <w:p w14:paraId="58EDF95B" w14:textId="77777777" w:rsidR="006850B5" w:rsidRDefault="006850B5" w:rsidP="00D112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CB2"/>
    <w:rsid w:val="000E608E"/>
    <w:rsid w:val="00221C26"/>
    <w:rsid w:val="002B475E"/>
    <w:rsid w:val="003076B9"/>
    <w:rsid w:val="003A3578"/>
    <w:rsid w:val="004D6DCA"/>
    <w:rsid w:val="0061129D"/>
    <w:rsid w:val="00675E51"/>
    <w:rsid w:val="006850B5"/>
    <w:rsid w:val="006A0AF2"/>
    <w:rsid w:val="006A2F0B"/>
    <w:rsid w:val="007A1829"/>
    <w:rsid w:val="00923DC9"/>
    <w:rsid w:val="00B20CF2"/>
    <w:rsid w:val="00B610C8"/>
    <w:rsid w:val="00B72FF0"/>
    <w:rsid w:val="00B92197"/>
    <w:rsid w:val="00C74CB2"/>
    <w:rsid w:val="00CE2392"/>
    <w:rsid w:val="00D112FD"/>
    <w:rsid w:val="00F45F1C"/>
    <w:rsid w:val="00FD4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8F0F9"/>
  <w15:chartTrackingRefBased/>
  <w15:docId w15:val="{944F7AED-A0EF-4D15-8C9D-3798F7DE6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74C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74C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74C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74C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74C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74C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74C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74C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74C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74C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74C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74C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74CB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74CB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74CB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74CB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74CB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74CB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74C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74C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74C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74C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74C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74CB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74CB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74CB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74C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74CB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74CB2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C74CB2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74CB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2B475E"/>
    <w:rPr>
      <w:color w:val="96607D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12F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12F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12FD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112F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112F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112F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pson.pl/educatio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uel.ac.uk/about-uel/news/2024/october/preparing-graduates-jobs-ai-has-yet-create" TargetMode="External"/><Relationship Id="rId2" Type="http://schemas.openxmlformats.org/officeDocument/2006/relationships/hyperlink" Target="https://iscresearch.com/isl-magazine-the-eu-ai-act/" TargetMode="External"/><Relationship Id="rId1" Type="http://schemas.openxmlformats.org/officeDocument/2006/relationships/hyperlink" Target="https://ai-act-service-desk.ec.europa.eu/en/ai-act/timeline/timeline-implementation-eu-ai-act" TargetMode="External"/><Relationship Id="rId5" Type="http://schemas.openxmlformats.org/officeDocument/2006/relationships/hyperlink" Target="https://edtechmagazine.com/higher/article/2025/01/qa-modern-projectors-offer-immersive-learning-opportunities-across-campus" TargetMode="External"/><Relationship Id="rId4" Type="http://schemas.openxmlformats.org/officeDocument/2006/relationships/hyperlink" Target="https://edtechmagazine.com/k12/article/2020/03/how-immersive-technology-champions-four-cs-learning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F5A8B4-31DE-4E8D-A282-0DA20D76C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692</Words>
  <Characters>4154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Jański</dc:creator>
  <cp:keywords/>
  <dc:description/>
  <cp:lastModifiedBy>Krzysztof Jański</cp:lastModifiedBy>
  <cp:revision>10</cp:revision>
  <dcterms:created xsi:type="dcterms:W3CDTF">2026-09-09T10:15:00Z</dcterms:created>
  <dcterms:modified xsi:type="dcterms:W3CDTF">2026-09-09T12:17:00Z</dcterms:modified>
</cp:coreProperties>
</file>